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3C" w:rsidRDefault="00704E1E">
      <w:pPr>
        <w:widowControl/>
        <w:jc w:val="center"/>
        <w:rPr>
          <w:rStyle w:val="texttitle1"/>
          <w:rFonts w:ascii="黑体" w:eastAsia="黑体" w:hAnsi="黑体" w:cs="黑体"/>
          <w:color w:val="000000"/>
          <w:sz w:val="30"/>
          <w:szCs w:val="30"/>
          <w:lang w:bidi="ar"/>
        </w:rPr>
      </w:pPr>
      <w:r>
        <w:rPr>
          <w:rStyle w:val="texttitle1"/>
          <w:rFonts w:ascii="黑体" w:eastAsia="黑体" w:hAnsi="黑体" w:cs="黑体" w:hint="eastAsia"/>
          <w:color w:val="000000"/>
          <w:sz w:val="30"/>
          <w:szCs w:val="30"/>
          <w:lang w:bidi="ar"/>
        </w:rPr>
        <w:t>哈尔滨工业大学（威海）</w:t>
      </w:r>
    </w:p>
    <w:p w:rsidR="00B55C3C" w:rsidRDefault="00704E1E">
      <w:pPr>
        <w:widowControl/>
        <w:jc w:val="center"/>
        <w:rPr>
          <w:rFonts w:ascii="黑体" w:eastAsia="黑体" w:hAnsi="黑体" w:cs="黑体"/>
          <w:sz w:val="30"/>
          <w:szCs w:val="30"/>
        </w:rPr>
      </w:pPr>
      <w:r>
        <w:rPr>
          <w:rStyle w:val="texttitle1"/>
          <w:rFonts w:ascii="黑体" w:eastAsia="黑体" w:hAnsi="黑体" w:cs="黑体" w:hint="eastAsia"/>
          <w:color w:val="000000"/>
          <w:sz w:val="30"/>
          <w:szCs w:val="30"/>
          <w:lang w:bidi="ar"/>
        </w:rPr>
        <w:t>2018年山东省综合评价招生章程</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7"/>
          <w:szCs w:val="27"/>
          <w:lang w:bidi="ar"/>
        </w:rPr>
        <w:t xml:space="preserve">  </w:t>
      </w: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为贯彻落实《国务院关于深化考试招生制度改革的实施意见》及《教育部201</w:t>
      </w:r>
      <w:r>
        <w:rPr>
          <w:rFonts w:ascii="宋体" w:eastAsia="宋体" w:hAnsi="宋体" w:cs="宋体" w:hint="eastAsia"/>
          <w:color w:val="000000"/>
          <w:kern w:val="0"/>
          <w:sz w:val="24"/>
          <w:lang w:bidi="ar"/>
        </w:rPr>
        <w:t>8</w:t>
      </w:r>
      <w:r>
        <w:rPr>
          <w:rFonts w:ascii="宋体" w:eastAsia="宋体" w:hAnsi="宋体" w:cs="宋体"/>
          <w:color w:val="000000"/>
          <w:kern w:val="0"/>
          <w:sz w:val="24"/>
          <w:lang w:bidi="ar"/>
        </w:rPr>
        <w:t>年工作要点》文件精神，依据《山东省深化考试招生制度改革实施方案》和《山东省教育厅关于组织开展普通本科高校综合评价招生试点工作的通知》要求，经教育部、山东省教育厅批准，201</w:t>
      </w:r>
      <w:r>
        <w:rPr>
          <w:rFonts w:ascii="宋体" w:eastAsia="宋体" w:hAnsi="宋体" w:cs="宋体" w:hint="eastAsia"/>
          <w:color w:val="000000"/>
          <w:kern w:val="0"/>
          <w:sz w:val="24"/>
          <w:lang w:bidi="ar"/>
        </w:rPr>
        <w:t>8</w:t>
      </w:r>
      <w:r>
        <w:rPr>
          <w:rFonts w:ascii="宋体" w:eastAsia="宋体" w:hAnsi="宋体" w:cs="宋体"/>
          <w:color w:val="000000"/>
          <w:kern w:val="0"/>
          <w:sz w:val="24"/>
          <w:lang w:bidi="ar"/>
        </w:rPr>
        <w:t>年哈尔滨工业大学（威海）决定面向山东省考生继续开展综合评价招生试点工作。</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b/>
          <w:color w:val="000000"/>
          <w:kern w:val="0"/>
          <w:sz w:val="24"/>
          <w:lang w:bidi="ar"/>
        </w:rPr>
        <w:t xml:space="preserve">    </w:t>
      </w:r>
      <w:r>
        <w:rPr>
          <w:rFonts w:ascii="宋体" w:eastAsia="宋体" w:hAnsi="宋体" w:cs="宋体"/>
          <w:b/>
          <w:color w:val="000000"/>
          <w:kern w:val="0"/>
          <w:sz w:val="24"/>
          <w:lang w:bidi="ar"/>
        </w:rPr>
        <w:t>一、报名条件</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通过山东省201</w:t>
      </w:r>
      <w:r>
        <w:rPr>
          <w:rFonts w:ascii="宋体" w:eastAsia="宋体" w:hAnsi="宋体" w:cs="宋体" w:hint="eastAsia"/>
          <w:color w:val="000000"/>
          <w:kern w:val="0"/>
          <w:sz w:val="24"/>
          <w:lang w:bidi="ar"/>
        </w:rPr>
        <w:t>8</w:t>
      </w:r>
      <w:r>
        <w:rPr>
          <w:rFonts w:ascii="宋体" w:eastAsia="宋体" w:hAnsi="宋体" w:cs="宋体"/>
          <w:color w:val="000000"/>
          <w:kern w:val="0"/>
          <w:sz w:val="24"/>
          <w:lang w:bidi="ar"/>
        </w:rPr>
        <w:t>年夏季高考报名并同时满足以下条件的考生可报名参加我校综合评价招生：</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1. 身心健康、品学兼优、理想远大、热爱科学，并具备创新潜质的理科高中毕业生，高中三年参加不少于10个工作日的社区服务和1周社会实践，并完成15学分的研究性学习任务。学生须在报名系统中提供证明材料，含第三方证明材料，及联系人和电话，经中学审核属实后，在相应证明材料上校长签字并加盖中学校章；</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2. 高中学业水平考试各科目成绩为B以上，且语、数、外及所报招生类/专业的要求科目学业水平考试等级为A。鼓励在思想政治品德方面有突出事迹的优秀学生，获得中学生学科奥林匹克竞赛、青少年科技创新大赛（含全国青少年生物和环境科学实践活动）省级一等奖及以上奖励者，或在“明天小小科学家”奖励活动、全国中小学电脑制作活动中获得一、二等奖者，在国际科学与工程大奖赛或国际环境科研项目奥林匹克竞赛中的获奖者积极报考。</w:t>
      </w:r>
    </w:p>
    <w:p w:rsidR="00B55C3C" w:rsidRDefault="00704E1E" w:rsidP="00704E1E">
      <w:pPr>
        <w:widowControl/>
        <w:spacing w:beforeLines="50" w:before="156" w:afterLines="50" w:after="156" w:line="360" w:lineRule="auto"/>
        <w:ind w:firstLine="481"/>
        <w:jc w:val="left"/>
        <w:rPr>
          <w:rFonts w:ascii="宋体" w:eastAsia="宋体" w:hAnsi="宋体" w:cs="宋体"/>
          <w:b/>
          <w:color w:val="000000"/>
          <w:kern w:val="0"/>
          <w:sz w:val="24"/>
          <w:lang w:bidi="ar"/>
        </w:rPr>
      </w:pPr>
      <w:r>
        <w:rPr>
          <w:rFonts w:ascii="宋体" w:eastAsia="宋体" w:hAnsi="宋体" w:cs="宋体"/>
          <w:b/>
          <w:color w:val="000000"/>
          <w:kern w:val="0"/>
          <w:sz w:val="24"/>
          <w:lang w:bidi="ar"/>
        </w:rPr>
        <w:t>二、招生计划及招生专业</w:t>
      </w:r>
    </w:p>
    <w:p w:rsidR="00B55C3C" w:rsidRDefault="00B55C3C" w:rsidP="00704E1E">
      <w:pPr>
        <w:widowControl/>
        <w:spacing w:beforeLines="50" w:before="156" w:afterLines="50" w:after="156" w:line="360" w:lineRule="auto"/>
        <w:ind w:firstLine="481"/>
        <w:jc w:val="left"/>
        <w:rPr>
          <w:rFonts w:ascii="宋体" w:eastAsia="宋体" w:hAnsi="宋体" w:cs="宋体"/>
          <w:b/>
          <w:color w:val="000000"/>
          <w:kern w:val="0"/>
          <w:sz w:val="24"/>
          <w:lang w:bidi="ar"/>
        </w:rPr>
      </w:pPr>
    </w:p>
    <w:p w:rsidR="00B55C3C" w:rsidRDefault="00B55C3C" w:rsidP="00704E1E">
      <w:pPr>
        <w:widowControl/>
        <w:spacing w:beforeLines="50" w:before="156" w:afterLines="50" w:after="156" w:line="360" w:lineRule="auto"/>
        <w:ind w:firstLine="481"/>
        <w:jc w:val="left"/>
        <w:rPr>
          <w:rFonts w:ascii="宋体" w:eastAsia="宋体" w:hAnsi="宋体" w:cs="宋体"/>
          <w:b/>
          <w:color w:val="000000"/>
          <w:kern w:val="0"/>
          <w:sz w:val="24"/>
          <w:lang w:bidi="ar"/>
        </w:rPr>
      </w:pPr>
    </w:p>
    <w:p w:rsidR="00B55C3C" w:rsidRDefault="00704E1E" w:rsidP="00704E1E">
      <w:pPr>
        <w:widowControl/>
        <w:spacing w:beforeLines="50" w:before="156" w:afterLines="50" w:after="156" w:line="360" w:lineRule="auto"/>
        <w:jc w:val="left"/>
        <w:rPr>
          <w:rFonts w:ascii="宋体" w:eastAsia="宋体" w:hAnsi="宋体" w:cs="宋体"/>
          <w:b/>
          <w:color w:val="000000"/>
          <w:kern w:val="0"/>
          <w:sz w:val="24"/>
          <w:lang w:bidi="ar"/>
        </w:rPr>
      </w:pPr>
      <w:r>
        <w:rPr>
          <w:rFonts w:ascii="宋体" w:eastAsia="宋体" w:hAnsi="宋体" w:cs="宋体" w:hint="eastAsia"/>
          <w:b/>
          <w:color w:val="000000"/>
          <w:kern w:val="0"/>
          <w:sz w:val="24"/>
          <w:lang w:bidi="ar"/>
        </w:rPr>
        <w:t xml:space="preserve">    </w:t>
      </w:r>
    </w:p>
    <w:tbl>
      <w:tblPr>
        <w:tblStyle w:val="a4"/>
        <w:tblW w:w="8522"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321"/>
        <w:gridCol w:w="2950"/>
        <w:gridCol w:w="2620"/>
        <w:gridCol w:w="1631"/>
      </w:tblGrid>
      <w:tr w:rsidR="00B55C3C">
        <w:tc>
          <w:tcPr>
            <w:tcW w:w="132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lastRenderedPageBreak/>
              <w:t>科类</w:t>
            </w:r>
          </w:p>
        </w:tc>
        <w:tc>
          <w:tcPr>
            <w:tcW w:w="295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招生类/专业</w:t>
            </w:r>
          </w:p>
        </w:tc>
        <w:tc>
          <w:tcPr>
            <w:tcW w:w="262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要求科目</w:t>
            </w:r>
          </w:p>
        </w:tc>
        <w:tc>
          <w:tcPr>
            <w:tcW w:w="163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计划数</w:t>
            </w:r>
          </w:p>
        </w:tc>
      </w:tr>
      <w:tr w:rsidR="00B55C3C">
        <w:tc>
          <w:tcPr>
            <w:tcW w:w="132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理科</w:t>
            </w:r>
          </w:p>
        </w:tc>
        <w:tc>
          <w:tcPr>
            <w:tcW w:w="295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船舶与海洋工程</w:t>
            </w:r>
          </w:p>
        </w:tc>
        <w:tc>
          <w:tcPr>
            <w:tcW w:w="262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物理</w:t>
            </w:r>
          </w:p>
        </w:tc>
        <w:tc>
          <w:tcPr>
            <w:tcW w:w="163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10</w:t>
            </w:r>
          </w:p>
        </w:tc>
      </w:tr>
      <w:tr w:rsidR="00B55C3C">
        <w:tc>
          <w:tcPr>
            <w:tcW w:w="132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理科</w:t>
            </w:r>
          </w:p>
        </w:tc>
        <w:tc>
          <w:tcPr>
            <w:tcW w:w="295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生物工程</w:t>
            </w:r>
          </w:p>
        </w:tc>
        <w:tc>
          <w:tcPr>
            <w:tcW w:w="262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物理，化学</w:t>
            </w:r>
          </w:p>
        </w:tc>
        <w:tc>
          <w:tcPr>
            <w:tcW w:w="163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15</w:t>
            </w:r>
          </w:p>
        </w:tc>
      </w:tr>
      <w:tr w:rsidR="00B55C3C">
        <w:tc>
          <w:tcPr>
            <w:tcW w:w="132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理科</w:t>
            </w:r>
          </w:p>
        </w:tc>
        <w:tc>
          <w:tcPr>
            <w:tcW w:w="295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hint="eastAsia"/>
                <w:bCs/>
                <w:kern w:val="0"/>
                <w:sz w:val="24"/>
                <w:lang w:bidi="ar"/>
              </w:rPr>
              <w:t>环境工程</w:t>
            </w:r>
          </w:p>
        </w:tc>
        <w:tc>
          <w:tcPr>
            <w:tcW w:w="262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物理，化学</w:t>
            </w:r>
          </w:p>
        </w:tc>
        <w:tc>
          <w:tcPr>
            <w:tcW w:w="163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10</w:t>
            </w:r>
          </w:p>
        </w:tc>
      </w:tr>
      <w:tr w:rsidR="00B55C3C">
        <w:tc>
          <w:tcPr>
            <w:tcW w:w="132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理科</w:t>
            </w:r>
          </w:p>
        </w:tc>
        <w:tc>
          <w:tcPr>
            <w:tcW w:w="295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经济管理试验班</w:t>
            </w:r>
          </w:p>
        </w:tc>
        <w:tc>
          <w:tcPr>
            <w:tcW w:w="262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信息技术</w:t>
            </w:r>
          </w:p>
        </w:tc>
        <w:tc>
          <w:tcPr>
            <w:tcW w:w="163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1</w:t>
            </w:r>
            <w:r>
              <w:rPr>
                <w:rFonts w:ascii="宋体" w:eastAsia="宋体" w:hAnsi="宋体" w:cs="宋体" w:hint="eastAsia"/>
                <w:bCs/>
                <w:color w:val="000000"/>
                <w:kern w:val="0"/>
                <w:sz w:val="24"/>
                <w:lang w:bidi="ar"/>
              </w:rPr>
              <w:t>5</w:t>
            </w:r>
          </w:p>
        </w:tc>
      </w:tr>
      <w:tr w:rsidR="00B55C3C">
        <w:tc>
          <w:tcPr>
            <w:tcW w:w="132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理科</w:t>
            </w:r>
          </w:p>
        </w:tc>
        <w:tc>
          <w:tcPr>
            <w:tcW w:w="295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计算机类</w:t>
            </w:r>
          </w:p>
        </w:tc>
        <w:tc>
          <w:tcPr>
            <w:tcW w:w="262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信息技术</w:t>
            </w:r>
          </w:p>
        </w:tc>
        <w:tc>
          <w:tcPr>
            <w:tcW w:w="163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5</w:t>
            </w:r>
          </w:p>
        </w:tc>
      </w:tr>
      <w:tr w:rsidR="00B55C3C">
        <w:tc>
          <w:tcPr>
            <w:tcW w:w="132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理科</w:t>
            </w:r>
          </w:p>
        </w:tc>
        <w:tc>
          <w:tcPr>
            <w:tcW w:w="295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软件工程</w:t>
            </w:r>
          </w:p>
        </w:tc>
        <w:tc>
          <w:tcPr>
            <w:tcW w:w="2620"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信息技术</w:t>
            </w:r>
          </w:p>
        </w:tc>
        <w:tc>
          <w:tcPr>
            <w:tcW w:w="163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bCs/>
                <w:color w:val="000000"/>
                <w:kern w:val="0"/>
                <w:sz w:val="24"/>
                <w:lang w:bidi="ar"/>
              </w:rPr>
              <w:t>15</w:t>
            </w:r>
          </w:p>
        </w:tc>
      </w:tr>
      <w:tr w:rsidR="00B55C3C">
        <w:tc>
          <w:tcPr>
            <w:tcW w:w="6891" w:type="dxa"/>
            <w:gridSpan w:val="3"/>
            <w:tcBorders>
              <w:tl2br w:val="nil"/>
              <w:tr2bl w:val="nil"/>
            </w:tcBorders>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hint="eastAsia"/>
                <w:b/>
                <w:color w:val="000000"/>
                <w:kern w:val="0"/>
                <w:sz w:val="24"/>
                <w:lang w:bidi="ar"/>
              </w:rPr>
              <w:t>合计</w:t>
            </w:r>
          </w:p>
        </w:tc>
        <w:tc>
          <w:tcPr>
            <w:tcW w:w="1631" w:type="dxa"/>
            <w:tcBorders>
              <w:tl2br w:val="nil"/>
              <w:tr2bl w:val="nil"/>
            </w:tcBorders>
            <w:shd w:val="clear" w:color="auto" w:fill="auto"/>
            <w:vAlign w:val="center"/>
          </w:tcPr>
          <w:p w:rsidR="00B55C3C" w:rsidRDefault="00704E1E">
            <w:pPr>
              <w:widowControl/>
              <w:spacing w:line="360" w:lineRule="auto"/>
              <w:jc w:val="center"/>
              <w:rPr>
                <w:rFonts w:ascii="宋体" w:eastAsia="宋体" w:hAnsi="宋体" w:cs="宋体"/>
                <w:b/>
                <w:color w:val="000000"/>
                <w:kern w:val="0"/>
                <w:sz w:val="24"/>
                <w:lang w:bidi="ar"/>
              </w:rPr>
            </w:pPr>
            <w:r>
              <w:rPr>
                <w:rFonts w:ascii="宋体" w:eastAsia="宋体" w:hAnsi="宋体" w:cs="宋体" w:hint="eastAsia"/>
                <w:b/>
                <w:color w:val="000000"/>
                <w:kern w:val="0"/>
                <w:sz w:val="24"/>
                <w:lang w:bidi="ar"/>
              </w:rPr>
              <w:t>70</w:t>
            </w:r>
          </w:p>
        </w:tc>
      </w:tr>
    </w:tbl>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b/>
          <w:color w:val="000000"/>
          <w:kern w:val="0"/>
          <w:sz w:val="24"/>
          <w:lang w:bidi="ar"/>
        </w:rPr>
        <w:t>三、报名与选拔程序</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1.报名</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1）网上报名</w:t>
      </w:r>
    </w:p>
    <w:p w:rsidR="00B55C3C" w:rsidRDefault="00704E1E" w:rsidP="00704E1E">
      <w:pPr>
        <w:widowControl/>
        <w:spacing w:beforeLines="50" w:before="156" w:afterLines="50" w:after="156" w:line="360" w:lineRule="auto"/>
        <w:ind w:firstLineChars="200" w:firstLine="480"/>
        <w:jc w:val="left"/>
        <w:rPr>
          <w:color w:val="000000"/>
          <w:sz w:val="24"/>
        </w:rPr>
      </w:pPr>
      <w:r>
        <w:rPr>
          <w:rFonts w:ascii="宋体" w:eastAsia="宋体" w:hAnsi="宋体" w:cs="宋体"/>
          <w:color w:val="000000"/>
          <w:kern w:val="0"/>
          <w:sz w:val="24"/>
          <w:lang w:bidi="ar"/>
        </w:rPr>
        <w:t>符合报名条件的考生于201</w:t>
      </w:r>
      <w:r>
        <w:rPr>
          <w:rFonts w:ascii="宋体" w:eastAsia="宋体" w:hAnsi="宋体" w:cs="宋体" w:hint="eastAsia"/>
          <w:color w:val="000000"/>
          <w:kern w:val="0"/>
          <w:sz w:val="24"/>
          <w:lang w:bidi="ar"/>
        </w:rPr>
        <w:t>8</w:t>
      </w:r>
      <w:r>
        <w:rPr>
          <w:rFonts w:ascii="宋体" w:eastAsia="宋体" w:hAnsi="宋体" w:cs="宋体"/>
          <w:color w:val="000000"/>
          <w:kern w:val="0"/>
          <w:sz w:val="24"/>
          <w:lang w:bidi="ar"/>
        </w:rPr>
        <w:t>年5月</w:t>
      </w:r>
      <w:r w:rsidR="00890D8D">
        <w:rPr>
          <w:rFonts w:ascii="宋体" w:eastAsia="宋体" w:hAnsi="宋体" w:cs="宋体" w:hint="eastAsia"/>
          <w:color w:val="000000"/>
          <w:kern w:val="0"/>
          <w:sz w:val="24"/>
          <w:lang w:bidi="ar"/>
        </w:rPr>
        <w:t>8</w:t>
      </w:r>
      <w:r>
        <w:rPr>
          <w:rFonts w:ascii="宋体" w:eastAsia="宋体" w:hAnsi="宋体" w:cs="宋体"/>
          <w:color w:val="000000"/>
          <w:kern w:val="0"/>
          <w:sz w:val="24"/>
          <w:lang w:bidi="ar"/>
        </w:rPr>
        <w:t>日9:00—5月</w:t>
      </w:r>
      <w:r>
        <w:rPr>
          <w:rFonts w:ascii="宋体" w:eastAsia="宋体" w:hAnsi="宋体" w:cs="宋体" w:hint="eastAsia"/>
          <w:color w:val="000000"/>
          <w:kern w:val="0"/>
          <w:sz w:val="24"/>
          <w:lang w:bidi="ar"/>
        </w:rPr>
        <w:t>13</w:t>
      </w:r>
      <w:r>
        <w:rPr>
          <w:rFonts w:ascii="宋体" w:eastAsia="宋体" w:hAnsi="宋体" w:cs="宋体"/>
          <w:color w:val="000000"/>
          <w:kern w:val="0"/>
          <w:sz w:val="24"/>
          <w:lang w:bidi="ar"/>
        </w:rPr>
        <w:t>日16:00登录教育部阳光高考信息公开平台综合评价招生报名系统（网址：</w:t>
      </w:r>
      <w:hyperlink r:id="rId6" w:history="1">
        <w:r>
          <w:rPr>
            <w:rStyle w:val="a3"/>
            <w:rFonts w:ascii="宋体" w:eastAsia="宋体" w:hAnsi="宋体" w:cs="宋体"/>
            <w:color w:val="000000"/>
            <w:sz w:val="24"/>
          </w:rPr>
          <w:t>http://bm.chsi.com.cn/</w:t>
        </w:r>
      </w:hyperlink>
      <w:r>
        <w:rPr>
          <w:rFonts w:ascii="宋体" w:eastAsia="宋体" w:hAnsi="宋体" w:cs="宋体"/>
          <w:color w:val="000000"/>
          <w:kern w:val="0"/>
          <w:sz w:val="24"/>
          <w:lang w:bidi="ar"/>
        </w:rPr>
        <w:t>）进行注册、报名</w:t>
      </w:r>
      <w:r>
        <w:rPr>
          <w:rFonts w:ascii="宋体" w:eastAsia="宋体" w:hAnsi="宋体" w:cs="宋体" w:hint="eastAsia"/>
          <w:color w:val="000000"/>
          <w:kern w:val="0"/>
          <w:sz w:val="24"/>
          <w:lang w:bidi="ar"/>
        </w:rPr>
        <w:t>并网上</w:t>
      </w:r>
      <w:r>
        <w:rPr>
          <w:rFonts w:ascii="宋体" w:eastAsia="宋体" w:hAnsi="宋体" w:cs="宋体"/>
          <w:color w:val="000000"/>
          <w:kern w:val="0"/>
          <w:sz w:val="24"/>
          <w:lang w:bidi="ar"/>
        </w:rPr>
        <w:t>缴纳报名费30元/人（</w:t>
      </w:r>
      <w:proofErr w:type="gramStart"/>
      <w:r>
        <w:rPr>
          <w:rFonts w:ascii="宋体" w:eastAsia="宋体" w:hAnsi="宋体" w:cs="宋体"/>
          <w:color w:val="000000"/>
          <w:kern w:val="0"/>
          <w:sz w:val="24"/>
          <w:lang w:bidi="ar"/>
        </w:rPr>
        <w:t>鲁价费函</w:t>
      </w:r>
      <w:proofErr w:type="gramEnd"/>
      <w:r>
        <w:rPr>
          <w:rFonts w:ascii="宋体" w:eastAsia="宋体" w:hAnsi="宋体" w:cs="宋体"/>
          <w:color w:val="000000"/>
          <w:kern w:val="0"/>
          <w:sz w:val="24"/>
          <w:lang w:bidi="ar"/>
        </w:rPr>
        <w:t>[2016]95号），按要求填写相关信息。</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2）申请材料</w:t>
      </w:r>
      <w:bookmarkStart w:id="0" w:name="_GoBack"/>
      <w:bookmarkEnd w:id="0"/>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以下申请材料需全部网上提交。所有申请材料需由中学相关部门审核后，加盖中学公章，经扫描或拍照后一并在报名系统上传，无需邮寄或提交任何纸质材料。材料不全者不予审核。</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a.《哈尔滨工业大学（威海）综合评价招生申请表》，需由中学核实并加盖公章</w:t>
      </w:r>
      <w:r>
        <w:rPr>
          <w:rFonts w:ascii="宋体" w:eastAsia="宋体" w:hAnsi="宋体" w:cs="宋体" w:hint="eastAsia"/>
          <w:color w:val="000000"/>
          <w:kern w:val="0"/>
          <w:sz w:val="24"/>
          <w:lang w:bidi="ar"/>
        </w:rPr>
        <w:t>；</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b.高中阶段参加党团活动、公益劳动、志愿服务、社会实践、社团活动等方面经历与主要表现的记录材料</w:t>
      </w:r>
      <w:r>
        <w:rPr>
          <w:rFonts w:ascii="宋体" w:eastAsia="宋体" w:hAnsi="宋体" w:cs="宋体" w:hint="eastAsia"/>
          <w:color w:val="000000"/>
          <w:kern w:val="0"/>
          <w:sz w:val="24"/>
          <w:lang w:bidi="ar"/>
        </w:rPr>
        <w:t>；</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c.《个人陈述》：包括自身成长经历及体会、个性特长及取得的成果、进入大学后的专业规划等，字数不超过1500字，须由本人亲笔撰写，并在末尾处签名</w:t>
      </w:r>
      <w:r>
        <w:rPr>
          <w:rFonts w:ascii="宋体" w:eastAsia="宋体" w:hAnsi="宋体" w:cs="宋体" w:hint="eastAsia"/>
          <w:color w:val="000000"/>
          <w:kern w:val="0"/>
          <w:sz w:val="24"/>
          <w:lang w:bidi="ar"/>
        </w:rPr>
        <w:t>；</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lastRenderedPageBreak/>
        <w:t xml:space="preserve">    </w:t>
      </w:r>
      <w:r>
        <w:rPr>
          <w:rFonts w:ascii="宋体" w:eastAsia="宋体" w:hAnsi="宋体" w:cs="宋体"/>
          <w:color w:val="000000"/>
          <w:kern w:val="0"/>
          <w:sz w:val="24"/>
          <w:lang w:bidi="ar"/>
        </w:rPr>
        <w:t>d.高中阶段历次期末考试成绩单、年级排名（包括年级总人数、考生排名和排名百分比），选修课程学习情况。原件需由中学核实并加盖公章</w:t>
      </w:r>
      <w:r>
        <w:rPr>
          <w:rFonts w:ascii="宋体" w:eastAsia="宋体" w:hAnsi="宋体" w:cs="宋体" w:hint="eastAsia"/>
          <w:color w:val="000000"/>
          <w:kern w:val="0"/>
          <w:sz w:val="24"/>
          <w:lang w:bidi="ar"/>
        </w:rPr>
        <w:t>；</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e.高中阶段主要获奖证书复印件和其他证明自己特长和优势的材料，研究性学习报告等。提供各种能力和特长的证明材料扫描文件或照片（如学科竞赛、科研活动、省市级三好学生、兴趣特长、社会活动等）</w:t>
      </w:r>
      <w:r>
        <w:rPr>
          <w:rFonts w:ascii="宋体" w:eastAsia="宋体" w:hAnsi="宋体" w:cs="宋体" w:hint="eastAsia"/>
          <w:color w:val="000000"/>
          <w:kern w:val="0"/>
          <w:sz w:val="24"/>
          <w:lang w:bidi="ar"/>
        </w:rPr>
        <w:t>；</w:t>
      </w:r>
    </w:p>
    <w:p w:rsidR="00B55C3C" w:rsidRDefault="00704E1E" w:rsidP="00704E1E">
      <w:pPr>
        <w:widowControl/>
        <w:spacing w:beforeLines="50" w:before="156" w:afterLines="50" w:after="156" w:line="360" w:lineRule="auto"/>
        <w:ind w:firstLineChars="200" w:firstLine="480"/>
        <w:jc w:val="left"/>
        <w:rPr>
          <w:color w:val="000000"/>
          <w:sz w:val="24"/>
        </w:rPr>
      </w:pPr>
      <w:r>
        <w:rPr>
          <w:rFonts w:ascii="宋体" w:eastAsia="宋体" w:hAnsi="宋体" w:cs="宋体"/>
          <w:color w:val="000000"/>
          <w:kern w:val="0"/>
          <w:sz w:val="24"/>
          <w:lang w:bidi="ar"/>
        </w:rPr>
        <w:t>f.中学学业水平测试成绩证明，需由中学核实并加盖公章。</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2.初审</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我校招生</w:t>
      </w:r>
      <w:r>
        <w:rPr>
          <w:rFonts w:ascii="宋体" w:eastAsia="宋体" w:hAnsi="宋体" w:cs="宋体" w:hint="eastAsia"/>
          <w:color w:val="000000"/>
          <w:kern w:val="0"/>
          <w:sz w:val="24"/>
          <w:lang w:bidi="ar"/>
        </w:rPr>
        <w:t>工作</w:t>
      </w:r>
      <w:r>
        <w:rPr>
          <w:rFonts w:ascii="宋体" w:eastAsia="宋体" w:hAnsi="宋体" w:cs="宋体"/>
          <w:color w:val="000000"/>
          <w:kern w:val="0"/>
          <w:sz w:val="24"/>
          <w:lang w:bidi="ar"/>
        </w:rPr>
        <w:t>领导小组将组织相关专家严格、公正、客观、全面地对考生提交的报名材料进行初步审核评价，并于201</w:t>
      </w:r>
      <w:r>
        <w:rPr>
          <w:rFonts w:ascii="宋体" w:eastAsia="宋体" w:hAnsi="宋体" w:cs="宋体" w:hint="eastAsia"/>
          <w:color w:val="000000"/>
          <w:kern w:val="0"/>
          <w:sz w:val="24"/>
          <w:lang w:bidi="ar"/>
        </w:rPr>
        <w:t>8</w:t>
      </w:r>
      <w:r>
        <w:rPr>
          <w:rFonts w:ascii="宋体" w:eastAsia="宋体" w:hAnsi="宋体" w:cs="宋体"/>
          <w:color w:val="000000"/>
          <w:kern w:val="0"/>
          <w:sz w:val="24"/>
          <w:lang w:bidi="ar"/>
        </w:rPr>
        <w:t>年5月</w:t>
      </w:r>
      <w:r>
        <w:rPr>
          <w:rFonts w:ascii="宋体" w:eastAsia="宋体" w:hAnsi="宋体" w:cs="宋体" w:hint="eastAsia"/>
          <w:color w:val="000000"/>
          <w:kern w:val="0"/>
          <w:sz w:val="24"/>
          <w:lang w:bidi="ar"/>
        </w:rPr>
        <w:t>25</w:t>
      </w:r>
      <w:r>
        <w:rPr>
          <w:rFonts w:ascii="宋体" w:eastAsia="宋体" w:hAnsi="宋体" w:cs="宋体"/>
          <w:color w:val="000000"/>
          <w:kern w:val="0"/>
          <w:sz w:val="24"/>
          <w:lang w:bidi="ar"/>
        </w:rPr>
        <w:t>日前按教育厅规定公示审核结果，通过初审的考生名单及相关信息将在我</w:t>
      </w:r>
      <w:proofErr w:type="gramStart"/>
      <w:r>
        <w:rPr>
          <w:rFonts w:ascii="宋体" w:eastAsia="宋体" w:hAnsi="宋体" w:cs="宋体"/>
          <w:color w:val="000000"/>
          <w:kern w:val="0"/>
          <w:sz w:val="24"/>
          <w:lang w:bidi="ar"/>
        </w:rPr>
        <w:t>校本科</w:t>
      </w:r>
      <w:proofErr w:type="gramEnd"/>
      <w:r>
        <w:rPr>
          <w:rFonts w:ascii="宋体" w:eastAsia="宋体" w:hAnsi="宋体" w:cs="宋体"/>
          <w:color w:val="000000"/>
          <w:kern w:val="0"/>
          <w:sz w:val="24"/>
          <w:lang w:bidi="ar"/>
        </w:rPr>
        <w:t>招生信息网及教育部阳光高考平台进行公示。如发现考生材料有弄虚作假情况，一经查实将取消考生资格。</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3.测试确认</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201</w:t>
      </w:r>
      <w:r>
        <w:rPr>
          <w:rFonts w:ascii="宋体" w:eastAsia="宋体" w:hAnsi="宋体" w:cs="宋体" w:hint="eastAsia"/>
          <w:color w:val="000000"/>
          <w:kern w:val="0"/>
          <w:sz w:val="24"/>
          <w:lang w:bidi="ar"/>
        </w:rPr>
        <w:t>8</w:t>
      </w:r>
      <w:r>
        <w:rPr>
          <w:rFonts w:ascii="宋体" w:eastAsia="宋体" w:hAnsi="宋体" w:cs="宋体"/>
          <w:color w:val="000000"/>
          <w:kern w:val="0"/>
          <w:sz w:val="24"/>
          <w:lang w:bidi="ar"/>
        </w:rPr>
        <w:t>年5月2</w:t>
      </w:r>
      <w:r>
        <w:rPr>
          <w:rFonts w:ascii="宋体" w:eastAsia="宋体" w:hAnsi="宋体" w:cs="宋体" w:hint="eastAsia"/>
          <w:color w:val="000000"/>
          <w:kern w:val="0"/>
          <w:sz w:val="24"/>
          <w:lang w:bidi="ar"/>
        </w:rPr>
        <w:t>8</w:t>
      </w:r>
      <w:r>
        <w:rPr>
          <w:rFonts w:ascii="宋体" w:eastAsia="宋体" w:hAnsi="宋体" w:cs="宋体"/>
          <w:color w:val="000000"/>
          <w:kern w:val="0"/>
          <w:sz w:val="24"/>
          <w:lang w:bidi="ar"/>
        </w:rPr>
        <w:t>日9:00—</w:t>
      </w:r>
      <w:r>
        <w:rPr>
          <w:rFonts w:ascii="宋体" w:eastAsia="宋体" w:hAnsi="宋体" w:cs="宋体" w:hint="eastAsia"/>
          <w:color w:val="000000"/>
          <w:kern w:val="0"/>
          <w:sz w:val="24"/>
          <w:lang w:bidi="ar"/>
        </w:rPr>
        <w:t>6</w:t>
      </w:r>
      <w:r>
        <w:rPr>
          <w:rFonts w:ascii="宋体" w:eastAsia="宋体" w:hAnsi="宋体" w:cs="宋体"/>
          <w:color w:val="000000"/>
          <w:kern w:val="0"/>
          <w:sz w:val="24"/>
          <w:lang w:bidi="ar"/>
        </w:rPr>
        <w:t>月</w:t>
      </w:r>
      <w:r>
        <w:rPr>
          <w:rFonts w:ascii="宋体" w:eastAsia="宋体" w:hAnsi="宋体" w:cs="宋体" w:hint="eastAsia"/>
          <w:color w:val="000000"/>
          <w:kern w:val="0"/>
          <w:sz w:val="24"/>
          <w:lang w:bidi="ar"/>
        </w:rPr>
        <w:t>1</w:t>
      </w:r>
      <w:r>
        <w:rPr>
          <w:rFonts w:ascii="宋体" w:eastAsia="宋体" w:hAnsi="宋体" w:cs="宋体"/>
          <w:color w:val="000000"/>
          <w:kern w:val="0"/>
          <w:sz w:val="24"/>
          <w:lang w:bidi="ar"/>
        </w:rPr>
        <w:t>日16:00初审合格考生须通过阳光高考平台特殊类报名平台确认是否参加我校综合评价高校综合测试。根据山东省物价局规定（</w:t>
      </w:r>
      <w:proofErr w:type="gramStart"/>
      <w:r>
        <w:rPr>
          <w:rFonts w:ascii="宋体" w:eastAsia="宋体" w:hAnsi="宋体" w:cs="宋体"/>
          <w:color w:val="000000"/>
          <w:kern w:val="0"/>
          <w:sz w:val="24"/>
          <w:lang w:bidi="ar"/>
        </w:rPr>
        <w:t>鲁价费函</w:t>
      </w:r>
      <w:proofErr w:type="gramEnd"/>
      <w:r>
        <w:rPr>
          <w:rFonts w:ascii="宋体" w:eastAsia="宋体" w:hAnsi="宋体" w:cs="宋体"/>
          <w:color w:val="000000"/>
          <w:kern w:val="0"/>
          <w:sz w:val="24"/>
          <w:lang w:bidi="ar"/>
        </w:rPr>
        <w:t>[2016]95号），面试费50元/人。考生可在考试前一周登录阳光高考平台报名系统下载并打印准考证。</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4.综合能力测试</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1）测试时间和地点</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时间：201</w:t>
      </w:r>
      <w:r>
        <w:rPr>
          <w:rFonts w:ascii="宋体" w:eastAsia="宋体" w:hAnsi="宋体" w:cs="宋体" w:hint="eastAsia"/>
          <w:color w:val="000000"/>
          <w:kern w:val="0"/>
          <w:sz w:val="24"/>
          <w:lang w:bidi="ar"/>
        </w:rPr>
        <w:t>8</w:t>
      </w:r>
      <w:r>
        <w:rPr>
          <w:rFonts w:ascii="宋体" w:eastAsia="宋体" w:hAnsi="宋体" w:cs="宋体"/>
          <w:color w:val="000000"/>
          <w:kern w:val="0"/>
          <w:sz w:val="24"/>
          <w:lang w:bidi="ar"/>
        </w:rPr>
        <w:t>年6月1</w:t>
      </w:r>
      <w:r>
        <w:rPr>
          <w:rFonts w:ascii="宋体" w:eastAsia="宋体" w:hAnsi="宋体" w:cs="宋体" w:hint="eastAsia"/>
          <w:color w:val="000000"/>
          <w:kern w:val="0"/>
          <w:sz w:val="24"/>
          <w:lang w:bidi="ar"/>
        </w:rPr>
        <w:t>8</w:t>
      </w:r>
      <w:r>
        <w:rPr>
          <w:rFonts w:ascii="宋体" w:eastAsia="宋体" w:hAnsi="宋体" w:cs="宋体"/>
          <w:color w:val="000000"/>
          <w:kern w:val="0"/>
          <w:sz w:val="24"/>
          <w:lang w:bidi="ar"/>
        </w:rPr>
        <w:t>日；</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地点：山东省威海市文化西路2号，哈尔滨工业大学（威海）。</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具体时间和考场安排请随时关注我</w:t>
      </w:r>
      <w:proofErr w:type="gramStart"/>
      <w:r>
        <w:rPr>
          <w:rFonts w:ascii="宋体" w:eastAsia="宋体" w:hAnsi="宋体" w:cs="宋体"/>
          <w:color w:val="000000"/>
          <w:kern w:val="0"/>
          <w:sz w:val="24"/>
          <w:lang w:bidi="ar"/>
        </w:rPr>
        <w:t>校本科招</w:t>
      </w:r>
      <w:r>
        <w:rPr>
          <w:rFonts w:ascii="宋体" w:eastAsia="宋体" w:hAnsi="宋体" w:cs="宋体" w:hint="eastAsia"/>
          <w:color w:val="000000"/>
          <w:kern w:val="0"/>
          <w:sz w:val="24"/>
          <w:lang w:bidi="ar"/>
        </w:rPr>
        <w:t>生</w:t>
      </w:r>
      <w:r>
        <w:rPr>
          <w:rFonts w:ascii="宋体" w:eastAsia="宋体" w:hAnsi="宋体" w:cs="宋体"/>
          <w:color w:val="000000"/>
          <w:kern w:val="0"/>
          <w:sz w:val="24"/>
          <w:lang w:bidi="ar"/>
        </w:rPr>
        <w:t>网</w:t>
      </w:r>
      <w:proofErr w:type="gramEnd"/>
      <w:r>
        <w:rPr>
          <w:rFonts w:ascii="宋体" w:eastAsia="宋体" w:hAnsi="宋体" w:cs="宋体"/>
          <w:color w:val="000000"/>
          <w:kern w:val="0"/>
          <w:sz w:val="24"/>
          <w:lang w:bidi="ar"/>
        </w:rPr>
        <w:t>公告。</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2）测试形式和内容</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通过初审的考生须参加我校统一组织的综合能力测试，形式为面试。</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面试主要考核考生逻辑思维、人文素养、表达能力及创新意识等综合素质。面试采取专家与考生多对一面试模式，专家组与考生临场抽签配对，面试结束后</w:t>
      </w:r>
      <w:r>
        <w:rPr>
          <w:rFonts w:ascii="宋体" w:eastAsia="宋体" w:hAnsi="宋体" w:cs="宋体"/>
          <w:color w:val="000000"/>
          <w:kern w:val="0"/>
          <w:sz w:val="24"/>
          <w:lang w:bidi="ar"/>
        </w:rPr>
        <w:lastRenderedPageBreak/>
        <w:t>每位专家独立评判打分，然后合计每位考生的面试成绩，面试成绩满分100分。每组面试专家不少于5人，面试过程全程录像，相关影像资料将留存备查。</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3）入围考生名单公示</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我校按照不超过招生计划1:</w:t>
      </w:r>
      <w:r>
        <w:rPr>
          <w:rFonts w:ascii="宋体" w:eastAsia="宋体" w:hAnsi="宋体" w:cs="宋体" w:hint="eastAsia"/>
          <w:color w:val="000000"/>
          <w:kern w:val="0"/>
          <w:sz w:val="24"/>
          <w:lang w:bidi="ar"/>
        </w:rPr>
        <w:t>5</w:t>
      </w:r>
      <w:r>
        <w:rPr>
          <w:rFonts w:ascii="宋体" w:eastAsia="宋体" w:hAnsi="宋体" w:cs="宋体"/>
          <w:color w:val="000000"/>
          <w:kern w:val="0"/>
          <w:sz w:val="24"/>
          <w:lang w:bidi="ar"/>
        </w:rPr>
        <w:t>的比例确定入围考生名单，根据综合能力测试成绩，由学校本科招生</w:t>
      </w:r>
      <w:r>
        <w:rPr>
          <w:rFonts w:ascii="宋体" w:eastAsia="宋体" w:hAnsi="宋体" w:cs="宋体" w:hint="eastAsia"/>
          <w:color w:val="000000"/>
          <w:kern w:val="0"/>
          <w:sz w:val="24"/>
          <w:lang w:bidi="ar"/>
        </w:rPr>
        <w:t>工作领导</w:t>
      </w:r>
      <w:r>
        <w:rPr>
          <w:rFonts w:ascii="宋体" w:eastAsia="宋体" w:hAnsi="宋体" w:cs="宋体"/>
          <w:color w:val="000000"/>
          <w:kern w:val="0"/>
          <w:sz w:val="24"/>
          <w:lang w:bidi="ar"/>
        </w:rPr>
        <w:t>小组审定综合评价招生入围考生名单，并于201</w:t>
      </w:r>
      <w:r>
        <w:rPr>
          <w:rFonts w:ascii="宋体" w:eastAsia="宋体" w:hAnsi="宋体" w:cs="宋体" w:hint="eastAsia"/>
          <w:color w:val="000000"/>
          <w:kern w:val="0"/>
          <w:sz w:val="24"/>
          <w:lang w:bidi="ar"/>
        </w:rPr>
        <w:t>8</w:t>
      </w:r>
      <w:r>
        <w:rPr>
          <w:rFonts w:ascii="宋体" w:eastAsia="宋体" w:hAnsi="宋体" w:cs="宋体"/>
          <w:color w:val="000000"/>
          <w:kern w:val="0"/>
          <w:sz w:val="24"/>
          <w:lang w:bidi="ar"/>
        </w:rPr>
        <w:t>年6月</w:t>
      </w:r>
      <w:r>
        <w:rPr>
          <w:rFonts w:ascii="宋体" w:eastAsia="宋体" w:hAnsi="宋体" w:cs="宋体" w:hint="eastAsia"/>
          <w:color w:val="000000"/>
          <w:kern w:val="0"/>
          <w:sz w:val="24"/>
          <w:lang w:bidi="ar"/>
        </w:rPr>
        <w:t>22</w:t>
      </w:r>
      <w:r>
        <w:rPr>
          <w:rFonts w:ascii="宋体" w:eastAsia="宋体" w:hAnsi="宋体" w:cs="宋体"/>
          <w:color w:val="000000"/>
          <w:kern w:val="0"/>
          <w:sz w:val="24"/>
          <w:lang w:bidi="ar"/>
        </w:rPr>
        <w:t>日前在我</w:t>
      </w:r>
      <w:proofErr w:type="gramStart"/>
      <w:r>
        <w:rPr>
          <w:rFonts w:ascii="宋体" w:eastAsia="宋体" w:hAnsi="宋体" w:cs="宋体"/>
          <w:color w:val="000000"/>
          <w:kern w:val="0"/>
          <w:sz w:val="24"/>
          <w:lang w:bidi="ar"/>
        </w:rPr>
        <w:t>校本科招生网</w:t>
      </w:r>
      <w:proofErr w:type="gramEnd"/>
      <w:r>
        <w:rPr>
          <w:rFonts w:ascii="宋体" w:eastAsia="宋体" w:hAnsi="宋体" w:cs="宋体"/>
          <w:color w:val="000000"/>
          <w:kern w:val="0"/>
          <w:sz w:val="24"/>
          <w:lang w:bidi="ar"/>
        </w:rPr>
        <w:t>及教育部阳光高考平台进行公示。如发现考生材料有弄虚作假情况，一经查实将取消考生综合评价招生相应资格，并将有关情况</w:t>
      </w:r>
      <w:proofErr w:type="gramStart"/>
      <w:r>
        <w:rPr>
          <w:rFonts w:ascii="宋体" w:eastAsia="宋体" w:hAnsi="宋体" w:cs="宋体"/>
          <w:color w:val="000000"/>
          <w:kern w:val="0"/>
          <w:sz w:val="24"/>
          <w:lang w:bidi="ar"/>
        </w:rPr>
        <w:t>通报省</w:t>
      </w:r>
      <w:proofErr w:type="gramEnd"/>
      <w:r>
        <w:rPr>
          <w:rFonts w:ascii="宋体" w:eastAsia="宋体" w:hAnsi="宋体" w:cs="宋体"/>
          <w:color w:val="000000"/>
          <w:kern w:val="0"/>
          <w:sz w:val="24"/>
          <w:lang w:bidi="ar"/>
        </w:rPr>
        <w:t>教育招生考试院，由省教育招生考试院依照相关规定取消其高考相应资格；公示无异议后，考生方获得我校山东省综合评价资格。</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5.专业志愿填报</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通过综合能力测试的考生必须网上填报专业志愿，专业志愿填报时间另行通知。</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高考成绩公布后，入围考生应在本科提前批次填报综合评价招生试点高校志愿，若同时获得多个入围资格，只能选择一所高校填报。不填报或填报未入围综合评价招生试点高校志愿，视为放弃该项招生资格，但不影响其他志愿录取。填报专业志愿须在该项招生公示的专业中选择，否则视为无效。综合评价招生已录取的学生，其他院校不再录取，请报考考生知晓。</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b/>
          <w:color w:val="000000"/>
          <w:kern w:val="0"/>
          <w:sz w:val="24"/>
          <w:lang w:bidi="ar"/>
        </w:rPr>
        <w:t xml:space="preserve">    </w:t>
      </w:r>
      <w:r>
        <w:rPr>
          <w:rFonts w:ascii="宋体" w:eastAsia="宋体" w:hAnsi="宋体" w:cs="宋体"/>
          <w:b/>
          <w:color w:val="000000"/>
          <w:kern w:val="0"/>
          <w:sz w:val="24"/>
          <w:lang w:bidi="ar"/>
        </w:rPr>
        <w:t>四、录取办法</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1.获得我校拟录取资格的考生，高考成绩排名必须位于201</w:t>
      </w:r>
      <w:r>
        <w:rPr>
          <w:rFonts w:ascii="宋体" w:eastAsia="宋体" w:hAnsi="宋体" w:cs="宋体" w:hint="eastAsia"/>
          <w:color w:val="000000"/>
          <w:kern w:val="0"/>
          <w:sz w:val="24"/>
          <w:lang w:bidi="ar"/>
        </w:rPr>
        <w:t>8</w:t>
      </w:r>
      <w:r>
        <w:rPr>
          <w:rFonts w:ascii="宋体" w:eastAsia="宋体" w:hAnsi="宋体" w:cs="宋体"/>
          <w:color w:val="000000"/>
          <w:kern w:val="0"/>
          <w:sz w:val="24"/>
          <w:lang w:bidi="ar"/>
        </w:rPr>
        <w:t>年山东省普通高校理科考生前10%，否则视为无效。考生须按要求填报高考志愿，并须在高考成绩公布后一周内登录我</w:t>
      </w:r>
      <w:proofErr w:type="gramStart"/>
      <w:r>
        <w:rPr>
          <w:rFonts w:ascii="宋体" w:eastAsia="宋体" w:hAnsi="宋体" w:cs="宋体"/>
          <w:color w:val="000000"/>
          <w:kern w:val="0"/>
          <w:sz w:val="24"/>
          <w:lang w:bidi="ar"/>
        </w:rPr>
        <w:t>校本科</w:t>
      </w:r>
      <w:proofErr w:type="gramEnd"/>
      <w:r>
        <w:rPr>
          <w:rFonts w:ascii="宋体" w:eastAsia="宋体" w:hAnsi="宋体" w:cs="宋体"/>
          <w:color w:val="000000"/>
          <w:kern w:val="0"/>
          <w:sz w:val="24"/>
          <w:lang w:bidi="ar"/>
        </w:rPr>
        <w:t>招生网，根据相关通知公告提交高考成绩及志愿填报信息。</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2. 对进</w:t>
      </w:r>
      <w:proofErr w:type="gramStart"/>
      <w:r>
        <w:rPr>
          <w:rFonts w:ascii="宋体" w:eastAsia="宋体" w:hAnsi="宋体" w:cs="宋体"/>
          <w:color w:val="000000"/>
          <w:kern w:val="0"/>
          <w:sz w:val="24"/>
          <w:lang w:bidi="ar"/>
        </w:rPr>
        <w:t>档</w:t>
      </w:r>
      <w:proofErr w:type="gramEnd"/>
      <w:r>
        <w:rPr>
          <w:rFonts w:ascii="宋体" w:eastAsia="宋体" w:hAnsi="宋体" w:cs="宋体"/>
          <w:color w:val="000000"/>
          <w:kern w:val="0"/>
          <w:sz w:val="24"/>
          <w:lang w:bidi="ar"/>
        </w:rPr>
        <w:t>考生，按综合成绩从高分到低分排序录取。</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综合成绩= X×10%+Y×20%+Z×70%</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其中，X代表中学学业水平测试成绩（折算成满分100分），Y代表高校综合能力测试成绩（折算成满分100分），Z代表高考总分（折算成满分100分）。</w:t>
      </w:r>
      <w:r>
        <w:rPr>
          <w:rFonts w:ascii="宋体" w:eastAsia="宋体" w:hAnsi="宋体" w:cs="宋体"/>
          <w:color w:val="000000"/>
          <w:kern w:val="0"/>
          <w:sz w:val="24"/>
          <w:lang w:bidi="ar"/>
        </w:rPr>
        <w:lastRenderedPageBreak/>
        <w:t>若考生综合成绩相同时，则按单项顺序及分数高低排序，单项顺序排列依次为：高考总分、高校综合能力测试成绩、中学学业水平测试成绩。</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山东省中学学业水平考试成绩折算成满分100分，折算科目为物理、化学、生物、思想政治、历史、地理和信息技术，各科成绩按照A=100分、B=85分折算。高中学业水平考试成绩=∑(各科折算成绩÷7)。</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b/>
          <w:color w:val="000000"/>
          <w:kern w:val="0"/>
          <w:sz w:val="24"/>
          <w:lang w:bidi="ar"/>
        </w:rPr>
        <w:t xml:space="preserve">    </w:t>
      </w:r>
      <w:r>
        <w:rPr>
          <w:rFonts w:ascii="宋体" w:eastAsia="宋体" w:hAnsi="宋体" w:cs="宋体"/>
          <w:b/>
          <w:color w:val="000000"/>
          <w:kern w:val="0"/>
          <w:sz w:val="24"/>
          <w:lang w:bidi="ar"/>
        </w:rPr>
        <w:t>五、其他</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1.哈尔滨工业大学（威海）201</w:t>
      </w:r>
      <w:r>
        <w:rPr>
          <w:rFonts w:ascii="宋体" w:eastAsia="宋体" w:hAnsi="宋体" w:cs="宋体" w:hint="eastAsia"/>
          <w:color w:val="000000"/>
          <w:kern w:val="0"/>
          <w:sz w:val="24"/>
          <w:lang w:bidi="ar"/>
        </w:rPr>
        <w:t>8</w:t>
      </w:r>
      <w:r>
        <w:rPr>
          <w:rFonts w:ascii="宋体" w:eastAsia="宋体" w:hAnsi="宋体" w:cs="宋体"/>
          <w:color w:val="000000"/>
          <w:kern w:val="0"/>
          <w:sz w:val="24"/>
          <w:lang w:bidi="ar"/>
        </w:rPr>
        <w:t>年山东省综合评价招生工作在哈尔滨工业大学（威海）招生工作小组的领导下实施，工作方案、实施办法和最终录取结果均须报招生工作小组审定。</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2.学校选拔录取工作按照全面衡量、公平公正、宁缺毋滥的原则择优确定综合评价招生入围考生名单。</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3.考生应本着诚信的原则提供真实准确的报名申请材料，若存在虚假内容或者隐匿可能对考生产生不利影响的重大事实，一经查实，立即取消其资格；已经入学的，按教育部和我校相关规定处理。中学应当对所出具的推荐材料或者盖章认可的自荐材料认真核实，出现弄虚作假情形的，我校保留采取相关措施的权利。</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4.若我校招生简章与教育部相关规定冲突，以教育部发布的最新规定为准。</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b/>
          <w:color w:val="000000"/>
          <w:kern w:val="0"/>
          <w:sz w:val="24"/>
          <w:lang w:bidi="ar"/>
        </w:rPr>
        <w:t xml:space="preserve">    </w:t>
      </w:r>
      <w:r>
        <w:rPr>
          <w:rFonts w:ascii="宋体" w:eastAsia="宋体" w:hAnsi="宋体" w:cs="宋体"/>
          <w:b/>
          <w:color w:val="000000"/>
          <w:kern w:val="0"/>
          <w:sz w:val="24"/>
          <w:lang w:bidi="ar"/>
        </w:rPr>
        <w:t>六、监督及检查</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哈尔滨工业大学（威海）“综合评价”选拔录取工作接受学校纪检监察部门、考生、家长及社会各界的监督。</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哈尔滨工业大学（威海）纪检监察部门监督电话：0631-5687345，5687280。</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b/>
          <w:color w:val="000000"/>
          <w:kern w:val="0"/>
          <w:sz w:val="24"/>
          <w:lang w:bidi="ar"/>
        </w:rPr>
        <w:t xml:space="preserve">    </w:t>
      </w:r>
      <w:r>
        <w:rPr>
          <w:rFonts w:ascii="宋体" w:eastAsia="宋体" w:hAnsi="宋体" w:cs="宋体"/>
          <w:b/>
          <w:color w:val="000000"/>
          <w:kern w:val="0"/>
          <w:sz w:val="24"/>
          <w:lang w:bidi="ar"/>
        </w:rPr>
        <w:t>七、联系方式</w:t>
      </w:r>
      <w:r>
        <w:rPr>
          <w:rFonts w:ascii="宋体" w:eastAsia="宋体" w:hAnsi="宋体" w:cs="宋体" w:hint="eastAsia"/>
          <w:b/>
          <w:color w:val="000000"/>
          <w:kern w:val="0"/>
          <w:sz w:val="24"/>
          <w:lang w:bidi="ar"/>
        </w:rPr>
        <w:tab/>
      </w:r>
      <w:r>
        <w:rPr>
          <w:rFonts w:ascii="宋体" w:eastAsia="宋体" w:hAnsi="宋体" w:cs="宋体" w:hint="eastAsia"/>
          <w:b/>
          <w:color w:val="000000"/>
          <w:kern w:val="0"/>
          <w:sz w:val="24"/>
          <w:lang w:bidi="ar"/>
        </w:rPr>
        <w:tab/>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通讯地址：山东省威海市文化西路2号哈尔滨工业大学（威海）招生工作办公室</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邮政编码：264209</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咨询电话：0631-5689455</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lastRenderedPageBreak/>
        <w:t xml:space="preserve">    </w:t>
      </w:r>
      <w:r>
        <w:rPr>
          <w:rFonts w:ascii="宋体" w:eastAsia="宋体" w:hAnsi="宋体" w:cs="宋体"/>
          <w:color w:val="000000"/>
          <w:kern w:val="0"/>
          <w:sz w:val="24"/>
          <w:lang w:bidi="ar"/>
        </w:rPr>
        <w:t>传真号码：0631-5689455</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电子信箱：zsb@hitwh.edu.cn</w:t>
      </w:r>
    </w:p>
    <w:p w:rsidR="00B55C3C" w:rsidRDefault="00704E1E" w:rsidP="00704E1E">
      <w:pPr>
        <w:widowControl/>
        <w:spacing w:beforeLines="50" w:before="156" w:afterLines="50" w:after="156" w:line="360" w:lineRule="auto"/>
        <w:jc w:val="left"/>
        <w:rPr>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招生网址：</w:t>
      </w:r>
      <w:r>
        <w:rPr>
          <w:rFonts w:ascii="宋体" w:eastAsia="宋体" w:hAnsi="宋体" w:cs="宋体" w:hint="eastAsia"/>
          <w:color w:val="000000"/>
          <w:kern w:val="0"/>
          <w:sz w:val="24"/>
          <w:lang w:bidi="ar"/>
        </w:rPr>
        <w:t>http://zsb.hitwh.edu.cn</w:t>
      </w:r>
      <w:hyperlink r:id="rId7" w:history="1"/>
    </w:p>
    <w:p w:rsidR="00B55C3C" w:rsidRDefault="00704E1E" w:rsidP="00704E1E">
      <w:pPr>
        <w:widowControl/>
        <w:spacing w:beforeLines="50" w:before="156" w:afterLines="50" w:after="156" w:line="360" w:lineRule="auto"/>
        <w:jc w:val="left"/>
        <w:rPr>
          <w:color w:val="000000"/>
          <w:sz w:val="18"/>
          <w:szCs w:val="18"/>
        </w:rPr>
      </w:pPr>
      <w:r>
        <w:rPr>
          <w:rFonts w:ascii="宋体" w:eastAsia="宋体" w:hAnsi="宋体" w:cs="宋体" w:hint="eastAsia"/>
          <w:b/>
          <w:color w:val="000000"/>
          <w:kern w:val="0"/>
          <w:sz w:val="24"/>
          <w:lang w:bidi="ar"/>
        </w:rPr>
        <w:t xml:space="preserve">    </w:t>
      </w:r>
      <w:r>
        <w:rPr>
          <w:rFonts w:ascii="宋体" w:eastAsia="宋体" w:hAnsi="宋体" w:cs="宋体"/>
          <w:b/>
          <w:color w:val="000000"/>
          <w:kern w:val="0"/>
          <w:sz w:val="24"/>
          <w:lang w:bidi="ar"/>
        </w:rPr>
        <w:t>八、本方案由哈尔滨工业大学（威海）招生办公室负责解释。</w:t>
      </w:r>
    </w:p>
    <w:p w:rsidR="00B55C3C" w:rsidRDefault="00B55C3C"/>
    <w:sectPr w:rsidR="00B55C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C7F32"/>
    <w:rsid w:val="00704E1E"/>
    <w:rsid w:val="00890D8D"/>
    <w:rsid w:val="00B55C3C"/>
    <w:rsid w:val="12DA12AA"/>
    <w:rsid w:val="1DD80534"/>
    <w:rsid w:val="248C7F32"/>
    <w:rsid w:val="31C40155"/>
    <w:rsid w:val="3E0108DA"/>
    <w:rsid w:val="4D887F71"/>
    <w:rsid w:val="5B5E258C"/>
    <w:rsid w:val="6BC17E24"/>
    <w:rsid w:val="70ED11EB"/>
    <w:rsid w:val="72380AEB"/>
    <w:rsid w:val="769E4909"/>
    <w:rsid w:val="7D14201B"/>
    <w:rsid w:val="7DF16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le1">
    <w:name w:val="texttitle1"/>
    <w:basedOn w:val="a0"/>
    <w:qFormat/>
    <w:rPr>
      <w:rFonts w:ascii="隶书" w:eastAsia="隶书" w:hAnsi="隶书" w:cs="隶书"/>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le1">
    <w:name w:val="texttitle1"/>
    <w:basedOn w:val="a0"/>
    <w:qFormat/>
    <w:rPr>
      <w:rFonts w:ascii="隶书" w:eastAsia="隶书" w:hAnsi="隶书" w:cs="隶书"/>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sb.hitwh.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m.chsi.com.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534</Words>
  <Characters>3048</Characters>
  <Application>Microsoft Office Word</Application>
  <DocSecurity>0</DocSecurity>
  <Lines>25</Lines>
  <Paragraphs>7</Paragraphs>
  <ScaleCrop>false</ScaleCrop>
  <Company>Microsoft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cp:lastPrinted>2018-04-08T00:04:00Z</cp:lastPrinted>
  <dcterms:created xsi:type="dcterms:W3CDTF">2017-05-18T08:45:00Z</dcterms:created>
  <dcterms:modified xsi:type="dcterms:W3CDTF">2018-05-08T00:20:00Z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